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6564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6564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GUO MAN</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140" w:type="dxa"/>
            <w:vAlign w:val="bottom"/>
            <w:tcBorders>
              <w:top w:val="single" w:sz="8" w:color="0000EE"/>
              <w:bottom w:val="single" w:sz="8" w:color="9A9A9A"/>
            </w:tcBorders>
          </w:tcPr>
          <w:p>
            <w:pPr>
              <w:spacing w:after="0"/>
              <w:rPr>
                <w:sz w:val="17"/>
                <w:szCs w:val="17"/>
                <w:color w:val="auto"/>
              </w:rPr>
            </w:pPr>
          </w:p>
        </w:tc>
        <w:tc>
          <w:tcPr>
            <w:tcW w:w="19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04/16/2026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Yueda Digital Holding</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YDKG</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39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C/O YUEDA DIGITAL HOLDING</w:t>
      </w:r>
    </w:p>
    <w:p>
      <w:pPr>
        <w:spacing w:after="0" w:line="93" w:lineRule="exact"/>
        <w:rPr>
          <w:sz w:val="24"/>
          <w:szCs w:val="24"/>
          <w:color w:val="auto"/>
        </w:rPr>
      </w:pPr>
    </w:p>
    <w:p>
      <w:pPr>
        <w:ind w:left="140" w:right="1557"/>
        <w:spacing w:after="0" w:line="275" w:lineRule="auto"/>
        <w:rPr>
          <w:sz w:val="20"/>
          <w:szCs w:val="20"/>
          <w:color w:val="auto"/>
        </w:rPr>
      </w:pPr>
      <w:r>
        <w:rPr>
          <w:rFonts w:ascii="Times New Roman" w:cs="Times New Roman" w:eastAsia="Times New Roman" w:hAnsi="Times New Roman"/>
          <w:sz w:val="20"/>
          <w:szCs w:val="20"/>
          <w:color w:val="0000FF"/>
        </w:rPr>
        <w:t>7545 IRVINE CENTER DRIVE, SUITE 200</w:t>
      </w:r>
    </w:p>
    <w:p>
      <w:pPr>
        <w:spacing w:after="0" w:line="26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6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65"/>
        </w:trPr>
        <w:tc>
          <w:tcPr>
            <w:tcW w:w="8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IRVINE</w:t>
            </w:r>
          </w:p>
        </w:tc>
        <w:tc>
          <w:tcPr>
            <w:tcW w:w="84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CA</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92618</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43"/>
        <w:spacing w:after="0"/>
        <w:rPr>
          <w:sz w:val="20"/>
          <w:szCs w:val="20"/>
          <w:color w:val="auto"/>
        </w:rPr>
      </w:pPr>
      <w:r>
        <w:rPr>
          <w:rFonts w:ascii="Times New Roman" w:cs="Times New Roman" w:eastAsia="Times New Roman" w:hAnsi="Times New Roman"/>
          <w:sz w:val="20"/>
          <w:szCs w:val="20"/>
          <w:color w:val="0000FF"/>
        </w:rPr>
        <w:t>Chief Financial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A Ordinary Shares</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ind w:left="580"/>
              <w:spacing w:after="0"/>
              <w:rPr>
                <w:sz w:val="20"/>
                <w:szCs w:val="20"/>
                <w:color w:val="auto"/>
              </w:rPr>
            </w:pPr>
            <w:r>
              <w:rPr>
                <w:rFonts w:ascii="Times New Roman" w:cs="Times New Roman" w:eastAsia="Times New Roman" w:hAnsi="Times New Roman"/>
                <w:sz w:val="20"/>
                <w:szCs w:val="20"/>
                <w:color w:val="0000FF"/>
              </w:rPr>
              <w:t>69,701</w:t>
            </w:r>
          </w:p>
        </w:tc>
        <w:tc>
          <w:tcPr>
            <w:tcW w:w="9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0"/>
                <w:szCs w:val="20"/>
                <w:color w:val="0000FF"/>
              </w:rPr>
              <w:t>I</w:t>
            </w:r>
          </w:p>
        </w:tc>
        <w:tc>
          <w:tcPr>
            <w:tcW w:w="188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(1)</w:t>
            </w: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7"/>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8"/>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4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44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ind w:left="4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44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4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4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80" w:type="dxa"/>
            <w:vAlign w:val="bottom"/>
          </w:tcPr>
          <w:p>
            <w:pPr>
              <w:spacing w:after="0"/>
              <w:rPr>
                <w:sz w:val="5"/>
                <w:szCs w:val="5"/>
                <w:color w:val="auto"/>
              </w:rPr>
            </w:pPr>
          </w:p>
        </w:tc>
        <w:tc>
          <w:tcPr>
            <w:tcW w:w="960" w:type="dxa"/>
            <w:vAlign w:val="bottom"/>
            <w:vMerge w:val="restart"/>
          </w:tcPr>
          <w:p>
            <w:pPr>
              <w:ind w:left="380"/>
              <w:spacing w:after="0"/>
              <w:rPr>
                <w:sz w:val="20"/>
                <w:szCs w:val="20"/>
                <w:color w:val="auto"/>
              </w:rPr>
            </w:pPr>
            <w:r>
              <w:rPr>
                <w:rFonts w:ascii="Arial" w:cs="Arial" w:eastAsia="Arial" w:hAnsi="Arial"/>
                <w:sz w:val="15"/>
                <w:szCs w:val="15"/>
                <w:b w:val="1"/>
                <w:bCs w:val="1"/>
                <w:color w:val="auto"/>
                <w:w w:val="98"/>
              </w:rPr>
              <w:t>Amount</w:t>
            </w: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Pr>
          <w:p>
            <w:pPr>
              <w:ind w:left="4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60" w:type="dxa"/>
            <w:vAlign w:val="bottom"/>
          </w:tcPr>
          <w:p>
            <w:pPr>
              <w:ind w:left="380"/>
              <w:spacing w:after="0" w:line="165" w:lineRule="exact"/>
              <w:rPr>
                <w:sz w:val="20"/>
                <w:szCs w:val="20"/>
                <w:color w:val="auto"/>
              </w:rPr>
            </w:pPr>
            <w:r>
              <w:rPr>
                <w:rFonts w:ascii="Arial" w:cs="Arial" w:eastAsia="Arial" w:hAnsi="Arial"/>
                <w:sz w:val="15"/>
                <w:szCs w:val="15"/>
                <w:b w:val="1"/>
                <w:bCs w:val="1"/>
                <w:color w:val="auto"/>
              </w:rPr>
              <w:t>or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60" w:type="dxa"/>
            <w:vAlign w:val="bottom"/>
          </w:tcPr>
          <w:p>
            <w:pPr>
              <w:ind w:left="380"/>
              <w:spacing w:after="0" w:line="165" w:lineRule="exact"/>
              <w:rPr>
                <w:sz w:val="20"/>
                <w:szCs w:val="20"/>
                <w:color w:val="auto"/>
              </w:rPr>
            </w:pPr>
            <w:r>
              <w:rPr>
                <w:rFonts w:ascii="Arial" w:cs="Arial" w:eastAsia="Arial" w:hAnsi="Arial"/>
                <w:sz w:val="15"/>
                <w:szCs w:val="15"/>
                <w:b w:val="1"/>
                <w:bCs w:val="1"/>
                <w:color w:val="auto"/>
                <w:w w:val="98"/>
              </w:rPr>
              <w:t>Number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480" w:type="dxa"/>
            <w:vAlign w:val="bottom"/>
          </w:tcPr>
          <w:p>
            <w:pPr>
              <w:spacing w:after="0"/>
              <w:rPr>
                <w:sz w:val="14"/>
                <w:szCs w:val="14"/>
                <w:color w:val="auto"/>
              </w:rPr>
            </w:pPr>
          </w:p>
        </w:tc>
        <w:tc>
          <w:tcPr>
            <w:tcW w:w="960" w:type="dxa"/>
            <w:vAlign w:val="bottom"/>
          </w:tcPr>
          <w:p>
            <w:pPr>
              <w:ind w:left="380"/>
              <w:spacing w:after="0" w:line="165" w:lineRule="exact"/>
              <w:rPr>
                <w:sz w:val="20"/>
                <w:szCs w:val="20"/>
                <w:color w:val="auto"/>
              </w:rPr>
            </w:pPr>
            <w:r>
              <w:rPr>
                <w:rFonts w:ascii="Arial" w:cs="Arial" w:eastAsia="Arial" w:hAnsi="Arial"/>
                <w:sz w:val="15"/>
                <w:szCs w:val="15"/>
                <w:b w:val="1"/>
                <w:bCs w:val="1"/>
                <w:color w:val="auto"/>
              </w:rPr>
              <w:t>of</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48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60" w:type="dxa"/>
            <w:vAlign w:val="bottom"/>
          </w:tcPr>
          <w:p>
            <w:pPr>
              <w:ind w:left="380"/>
              <w:spacing w:after="0"/>
              <w:rPr>
                <w:sz w:val="20"/>
                <w:szCs w:val="20"/>
                <w:color w:val="auto"/>
              </w:rPr>
            </w:pPr>
            <w:r>
              <w:rPr>
                <w:rFonts w:ascii="Arial" w:cs="Arial" w:eastAsia="Arial" w:hAnsi="Arial"/>
                <w:sz w:val="15"/>
                <w:szCs w:val="15"/>
                <w:b w:val="1"/>
                <w:bCs w:val="1"/>
                <w:color w:val="auto"/>
              </w:rPr>
              <w:t>Shares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160" w:firstLine="5"/>
        <w:spacing w:after="0" w:line="244"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Shares are held of record by WEALTHY ENVIRONMENT LIMITED ("WEL"). The Reporting Person is a controlling shareholder of WEL and may be deemed to have the voting and dispositive power over the Issuer's shares held by the WEL. The Reporting Person disclaims beneficial ownership of the securities held by he WEL except to the extent of his pecuniary interest therein.</w:t>
      </w:r>
    </w:p>
    <w:p>
      <w:pPr>
        <w:spacing w:after="0" w:line="39"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/s/ Man Guo</w:t>
            </w:r>
          </w:p>
        </w:tc>
        <w:tc>
          <w:tcPr>
            <w:tcW w:w="900" w:type="dxa"/>
            <w:vAlign w:val="bottom"/>
          </w:tcPr>
          <w:p>
            <w:pPr>
              <w:spacing w:after="0"/>
              <w:rPr>
                <w:sz w:val="20"/>
                <w:szCs w:val="20"/>
                <w:color w:val="auto"/>
              </w:rPr>
            </w:pPr>
            <w:r>
              <w:rPr>
                <w:rFonts w:ascii="Times New Roman" w:cs="Times New Roman" w:eastAsia="Times New Roman" w:hAnsi="Times New Roman"/>
                <w:sz w:val="20"/>
                <w:szCs w:val="20"/>
                <w:color w:val="0000FF"/>
                <w:w w:val="96"/>
              </w:rPr>
              <w:t>04/16/2026</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0"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425951" TargetMode="External"/><Relationship Id="rId11" Type="http://schemas.openxmlformats.org/officeDocument/2006/relationships/hyperlink" Target="http://www.sec.gov/cgi-bin/browse-edgar?action=getcompany&amp;CIK=00014137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2026-04-16T15:30:04Z</dcterms:created>
  <dcterms:modified xsi:type="dcterms:W3CDTF">2026-04-16T15:30:04Z</dcterms:modified>
</cp:coreProperties>
</file>